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BF" w:rsidRPr="00597CBF" w:rsidRDefault="00597CBF" w:rsidP="00597CBF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aps/>
          <w:color w:val="B90000"/>
          <w:kern w:val="36"/>
          <w:sz w:val="17"/>
          <w:szCs w:val="17"/>
          <w:lang w:eastAsia="ru-RU"/>
        </w:rPr>
      </w:pPr>
      <w:r w:rsidRPr="00597CBF">
        <w:rPr>
          <w:rFonts w:ascii="Arial" w:eastAsia="Times New Roman" w:hAnsi="Arial" w:cs="Arial"/>
          <w:b/>
          <w:bCs/>
          <w:caps/>
          <w:color w:val="B90000"/>
          <w:kern w:val="36"/>
          <w:sz w:val="17"/>
          <w:szCs w:val="17"/>
          <w:lang w:eastAsia="ru-RU"/>
        </w:rPr>
        <w:t>УПРАВЛЕНИЕ МАГАЗИНОМ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597CBF" w:rsidRPr="00597CBF" w:rsidTr="00597CB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97CBF" w:rsidRPr="00597C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97CBF" w:rsidRPr="00597CBF" w:rsidRDefault="00597CBF" w:rsidP="00597CBF">
                  <w:pPr>
                    <w:spacing w:before="100" w:beforeAutospacing="1" w:after="100" w:afterAutospacing="1"/>
                    <w:outlineLvl w:val="1"/>
                    <w:rPr>
                      <w:rFonts w:ascii="Arial" w:eastAsia="Times New Roman" w:hAnsi="Arial" w:cs="Arial"/>
                      <w:b/>
                      <w:bCs/>
                      <w:caps/>
                      <w:color w:val="B90000"/>
                      <w:sz w:val="15"/>
                      <w:szCs w:val="15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b/>
                      <w:bCs/>
                      <w:caps/>
                      <w:color w:val="B90000"/>
                      <w:sz w:val="15"/>
                      <w:szCs w:val="15"/>
                      <w:lang w:eastAsia="ru-RU"/>
                    </w:rPr>
                    <w:t>ПЛАНИРОВКА ПРОДОВОЛЬСТВЕННОГО МАГАЗИНА: ЧТО ХОРОШО И ДЛЯ ПРОДАВЦА, И ДЛЯ ПОКУПАТЕЛЯ</w:t>
                  </w:r>
                </w:p>
              </w:tc>
            </w:tr>
            <w:tr w:rsidR="00597CBF" w:rsidRPr="00597CB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ПЛАНИРОВКА ПРОДОВОЛЬСТВЕННОГО МАГАЗИНА: что хорошо и для продавца, и для покупателя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© </w:t>
                  </w:r>
                  <w:proofErr w:type="spell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Бузукова</w:t>
                  </w:r>
                  <w:proofErr w:type="spell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Екатерина Анатольевна, клуб «</w:t>
                  </w:r>
                  <w:proofErr w:type="spell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Супер-Розница</w:t>
                  </w:r>
                  <w:proofErr w:type="spell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»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/>
                    <w:t>Подготовлено по материалам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lang w:eastAsia="ru-RU"/>
                    </w:rPr>
                    <w:t> </w:t>
                  </w:r>
                  <w:hyperlink r:id="rId4" w:history="1">
                    <w:r w:rsidRPr="00597CBF">
                      <w:rPr>
                        <w:rFonts w:ascii="Arial" w:eastAsia="Times New Roman" w:hAnsi="Arial" w:cs="Arial"/>
                        <w:color w:val="000000"/>
                        <w:sz w:val="14"/>
                        <w:u w:val="single"/>
                        <w:lang w:eastAsia="ru-RU"/>
                      </w:rPr>
                      <w:t>Книги директора магазина</w:t>
                    </w:r>
                  </w:hyperlink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 ред. Сысоевой С., 2ое издание, Питер, 2006 специально для журнала Управление магазином.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 зависимости от того, чем мы занимаемся в жизни, нас объединяет общее желание приобретать. А конкретнее, мы все покупатели. Каждый из нас является покупателем с большим стажем, и мы можем взглянуть на любой магазин с точки зрения эксперта – удобно или неудобно нам делать покупки в том или ином магазине. Мы можем оценить множество различных вещей, заходя в магазин и дать свою покупательскую оценку: приду я сюда еще раз? Оставлю ли я здесь свои деньги?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За последние годы понятие </w:t>
                  </w:r>
                  <w:proofErr w:type="spell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мерчандайзинга</w:t>
                  </w:r>
                  <w:proofErr w:type="spell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в розничной торговле стало известным и широко употребляемым. Лет десять назад  профессия «</w:t>
                  </w:r>
                  <w:proofErr w:type="spell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мерчандайзер</w:t>
                  </w:r>
                  <w:proofErr w:type="spell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» носила оттенок новизны и звучала интригующе. Сейчас это обычное понятие, без которого современный магазин немыслим. </w:t>
                  </w:r>
                  <w:proofErr w:type="spell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Мерчандайзинг</w:t>
                  </w:r>
                  <w:proofErr w:type="spell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призван обеспечить эффективное представление товара в стенах магазина, и дает шанс магазину сделать так, что бы наш покупатель не просто купил, но остался доволен и рассказал о нашем магазине многим своим друзьям и знакомым.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proofErr w:type="gram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Мерчандайзинг</w:t>
                  </w:r>
                  <w:proofErr w:type="spell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в стенах магазина основывается на трех китах а) магазин должен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«выглядеть»,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то есть производить некое внешнее запланированное впечатление, б) у него должно быть грамотно организовано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внутренне пространство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, то есть планировка торгового зала, в) товар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на полках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должен быть выложен соответствующим образом, то есть  так, что бы покупатель без труда находил любимые баночки и коробочки.</w:t>
                  </w:r>
                  <w:proofErr w:type="gramEnd"/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Сегодня мы поговорим о втором ките </w:t>
                  </w:r>
                  <w:proofErr w:type="spell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мерчандайзинга</w:t>
                  </w:r>
                  <w:proofErr w:type="spell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-  об организации торгового пространства внутри продуктового магазина.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Как же правильно распределить товары внутри магазина, что бы, с одной стороны, показать весь товар лицом, с другой, направить покупателя в нужные нам зоны и сделать так, что бы он прошел по всему периметру торгового зала. При этом необходимо помнить, что покупателю должно быть не просто приятно делать покупки, но и удобно передвигаться по залу, держа в одной руке сумку, шалуна-ребенка, мобильный телефон, спутника или спутницу, а другой рукой толкая впереди себя тележку с продуктами.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Несмотря на то, что все магазины разные и у каждого свои особенности и формат, существуют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общие правила планировки торгового зала.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 Будьте проще и люди к вам потянутся – эта незатейливая поговорка вполне справедлива для планировки магазина. Сложный архитектурный замысел, потайные ходы, неожиданные проходы хороши в лабиринте приключений, но никак не в магазине. Покупателю должно быть понятно и комфортно в Вашем магазине. Не у всех есть время и желание разыскивать прилавок с любимыми колбасными изделиями или заглядывать за стеллажи в поисках хлеба. Простота - главный принцип планировки торгового зала магазина.  Торговый зал должен быть целостным, удобным и понятным для поиска того или иного товара.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2. Нет броуновскому движению! Хаотично пересекающиеся потоки только раздражают покупателей и вносят сумятицу в зал. Организуйте пространство таким образом, что бы покупатели шли по естественному ходу движения – против часовой стрелки. Двигаясь против часовой стрелки, мы идем справа налево, что обусловлено не общеизвестным заблуждением «правая нога длиннее», а организацией движения и социальными привычками – так идет поток машин и так двигаются люди по дороге. Люди в первую очередь обращают внимание на то, что находится справа от них. Эта привычка идет из далекого прошлого и обусловлена древним ориентировочным рефлексом – кто-то может подкрасться со стороны руки, в которой я держу оружие. Правая от входа стена торгового зала считается самым выигрышным участком именно по этой причине – мы в первую очередь обращаем внимание на то, что находится по правую руку от нас и движемся справа налево.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Спланируйте и выделите магистраль для основного потока покупателей. Магистраль обычно шире основных проходов и по возможности должна быть выделена визуально – разметкой или яркими POS-материалами. Важно: магистраль не должна прерываться и должна начинаться и заканчиваться в одной точке. Это необходимо для того, что бы покупательский поток плавно тек по периметру магазина и охватывал всю площадь торгового зала.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5947410" cy="3540760"/>
                        <wp:effectExtent l="0" t="0" r="0" b="0"/>
                        <wp:docPr id="1" name="Рисунок 1" descr="http://www.retailclub.ru/images/image0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tailclub.ru/images/image0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7410" cy="3540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-        </w:t>
                  </w:r>
                  <w:proofErr w:type="gram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</w:t>
                  </w:r>
                  <w:proofErr w:type="gram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инимальное место для прохода одного человека с корзиной составляет 87 см;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-        для того, чтобы два человека с корзинами разошлись в проходе, требуется 2 м;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-        для того, чтобы нагнуться к нижней полке, необходимо пространство в 1 м;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-        в случае</w:t>
                  </w:r>
                  <w:proofErr w:type="gram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,</w:t>
                  </w:r>
                  <w:proofErr w:type="gram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если один человек рассматривает полки, повернувшись к ним лицом, а другой проходит мимо с корзиной, необходимо минимальное расстояние 1,25 м;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-        при высоком оборудовании и узком проходе покупатель будет испытывать тесноту, чувство опасности и даже угрозу. Оптимальное соотношение ширины прохода и высоты оборудования - </w:t>
                  </w:r>
                  <w:proofErr w:type="gram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З</w:t>
                  </w:r>
                  <w:proofErr w:type="gram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:4.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spacing w:after="24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3. Входя в незнакомый дом, Вы обычно осматриваетесь и осваиваетесь. Покупателю тоже нужно перевести дух  - сразу после входа в магазин должна быть незанятая зона, чтобы он мог притормозить шаг, осмотреться и привыкнуть к новому помещению. Именно здесь он принимает решение – идти дальше или развернуться. Помимо этого, если вход совпадает с выходом, то пересекаются два потока – входящий и выходящий. Обеспечьте людям достаточное пространство для маневров.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4. Первое впечатление запоминается надолго и часто бывает самым правильным. Обеспечьте покупателю положительные эмоции: он должен сказать «ах!» при входе в Ваш магазин. В продуктовом магазине это должно быть нечто, вызывающее желание вкусно покушать – зелено-красно-желтые пирамиды фруктов, </w:t>
                  </w:r>
                  <w:proofErr w:type="spell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свежевыжатые</w:t>
                  </w:r>
                  <w:proofErr w:type="spell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соки или праздничные наборы конфет, «вкусно» оформленные витрины с деликатесами, или дегустация нового сорта майонеза. Главное правило – это «ах!» покупатель должен увидеть при самом входе, даже если оно расположено в глубине торгового зала.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5. В идеале покупатель должен суметь охватить взглядом все пространство зала – желательно, что бы все группы товаров попали в поле его зрения. Однако в крупном супермаркете это нереально. В любом случае, необходимо стремиться к тому, что бы покупатель уже при входе понимал, что он найдет здесь свою любимую колбасу. Если магазин очень велик или имеет сложную архитектурную форму, то можно порекомендовать при входе </w:t>
                  </w:r>
                  <w:proofErr w:type="gram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разместить плакат</w:t>
                  </w:r>
                  <w:proofErr w:type="gram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или схему магазина с указанием групп и категорий товаров. Однако в магазинах небольшой площади и в одном отделе большого магазина важно обеспечить </w:t>
                  </w:r>
                  <w:proofErr w:type="spell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просматриваемость</w:t>
                  </w:r>
                  <w:proofErr w:type="spell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торгового зала – для лучшей ориентации и  комфорта покупателей.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6. Замечено, что 80-90% покупателей проходят магазин по периметру и только 40-50% заходят во внутреннюю зону магазина самообслуживания.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spacing w:after="24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Как заставить покупателя пройти по всему магазину и увидеть все группы товаров? Для этого существует правило «золотого треугольника» - </w:t>
                  </w:r>
                  <w:proofErr w:type="gram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товары</w:t>
                  </w:r>
                  <w:proofErr w:type="gram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востребованные и часто покупаемые должны располагаться максимально далеко от входа.. Как быть с любимой колбасой? Неужели заставлять покупателя преодолевать метры и метры прилавков со всякой снедью, прежде</w:t>
                  </w:r>
                  <w:proofErr w:type="gram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,</w:t>
                  </w:r>
                  <w:proofErr w:type="gram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чем он доберется до нее, любимой? Ни в коем случае не надо прятать колбасу – наоборот, отвести под нее больше места, красиво выложить, ярко осветить</w:t>
                  </w:r>
                  <w:proofErr w:type="gram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… Н</w:t>
                  </w:r>
                  <w:proofErr w:type="gram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 расположить прилавок с колбасой на противоположной входу стене (ее еще называют «алтарной стеной»), что бы покупатель, добравшись до нее, увидел  и другие вкусные вещи, которые Вы заботливо ему приготовили.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Правило «золотого треугольника» основано на психологии покупателя – найдя нужный ему товар, покупатель устремляется в кассу. Наша задача – заставить его задержаться в магазине подольше, расположив нужный покупателю товар в вершинах воображаемого треугольника, то есть «заякорить» покупателя. Чем больше площадь треугольника, тем более удачным можно назвать планировку магазина. В продуктовом магазине этими товарами-якорями являются гастрономия, молочная продукция, хлеб. Задняя торцевая стена торгового зала является вторым местом по значимости и именно там целесообразнее всего располагать товары-якоря – именно для того, что бы заставить покупателя пройти весь периметр магазина.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4"/>
                      <w:szCs w:val="14"/>
                      <w:lang w:eastAsia="ru-RU"/>
                    </w:rPr>
                    <w:drawing>
                      <wp:inline distT="0" distB="0" distL="0" distR="0">
                        <wp:extent cx="5947410" cy="3101340"/>
                        <wp:effectExtent l="0" t="0" r="0" b="0"/>
                        <wp:docPr id="2" name="Рисунок 2" descr="http://www.retailclub.ru/images/image0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tailclub.ru/images/image0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7410" cy="3101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7. Соблюдайте принцип товарного соседства: у стеллажа с чаем и кофе логично организовать соседство с конфетами и свежей выпечкой. А вот рыба и мясо здесь, скорее всего, окажутся не к месту.  Размещая товар по принципу выбора покупателя, мы реализуем идею «комплексной» покупки - одна покупка влечет за собой другую и у покупателя есть выбор из дополняющих друг друга товаров. Например, логично будет разместить рядом с рыбой стеллаж с соусами и приправами, рядом с пивом – снеки, чипсы, орешки. Тогда, по ходу движения, покупатель будет встречать товары, которые удачно дополняют друг друга. Например, вы берете овощи и зелень для салата, потом соус для заправки, потом приправы, потом мясо - к нему специи...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Принцип товарного соседства гласит: нельзя положить рыбу вместе с молоком или конфеты вместе с мясом.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Примеры сочетаемости некоторых продуктовых категорий:</w:t>
                  </w:r>
                </w:p>
                <w:tbl>
                  <w:tblPr>
                    <w:tblW w:w="0" w:type="auto"/>
                    <w:tblCellSpacing w:w="3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69"/>
                    <w:gridCol w:w="4670"/>
                  </w:tblGrid>
                  <w:tr w:rsidR="00597CBF" w:rsidRPr="00597CBF">
                    <w:trPr>
                      <w:tblCellSpacing w:w="30" w:type="dxa"/>
                    </w:trPr>
                    <w:tc>
                      <w:tcPr>
                        <w:tcW w:w="48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Овощи - мясо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Мясо - рыба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Рыба - консервы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Мясо - колбасы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Колбасы – сыры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Колбасы – полуфабрикаты, замороженные продукты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Консервы – специи, соусы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Сыры - молочные продукты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Молочные продукты – замороженные продукты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Молочные продукты – яйца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Яйца - бакалея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Соусы - крупы, бакалея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Бакалея - хлеб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Хлеб – выпечка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Хлеб – кондитерские изделия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Хлеб – чай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Чай – кофе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Чай, кофе – соки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Соки – алкоголь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Алкоголь - деликатесы</w:t>
                        </w:r>
                      </w:p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8. Природа не терпит пустоты. Прилавки магазина – тоже. Если покупатель видит пустоту, у него создается ощущение неполноты ассортимента. Он должен почувствовать, что товара достаточно, что в магазине изобилие. Помимо принципа полноты должен соблюдаться еще принцип постоянства – это означает, что постоянному клиенту нужно находить любимую колбасу на привычном месте. Если магазин увлекается перестановкой товара, пусть даже из самых благих намерений, то это сильно раздражает покупателя и не дает ему возможность наполнять свою покупательскую корзину – клиент попросту не может его найти.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Распределение торговой площади по качеству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Во многих магазинах ассортиментом управляют, исходя из его деления на категории, а не на большие товарные группы. И главное – правильно выделить основные категории, прежде всего поняв, что покупатель ожидает от магазина вашего формата. В магазине «возле дома» покупатель ищет то, из чего можно приготовить домашний обед, а в придорожном магазине пользуется спросом алкоголь и продукты по принципу «съесть-запить». </w:t>
                  </w:r>
                  <w:proofErr w:type="gram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Поэтому, магазин в спальном районе будет делать акцент на «колбасы», «сыры», «замороженные продукты», «мясо», «йогурты» и т.п.</w:t>
                  </w:r>
                  <w:proofErr w:type="gram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А продовольственный магазин у оживленной загородной трассы выберет «</w:t>
                  </w:r>
                  <w:proofErr w:type="gram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куры-гриль</w:t>
                  </w:r>
                  <w:proofErr w:type="gram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», «крепкие спиртные напитки», «пиво», «соки», «чипсы», «шоколадные конфеты в подарочной упаковке».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Этот подход базируется на логике покупателя – если ему удобно искать в магазине молоко марки, например, «Му-Му» по категориальному признаку («там, где все молоко»), а не по принципу торговой марки («там, где все изделия под маркой «Му-Му»), то эту логику необходимо учитывать и выставлять в торговом зале товар именно по признаку категорий.</w:t>
                  </w:r>
                  <w:proofErr w:type="gram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Безусловно, если мы говорим о товарах целевого спроса, таких как бытовая техника, автомобили и т.п., то ориентация на бренд будет более правильной. Но в продуктах питания покупатель не столь сильно привязан к торговой марке. Возможно, не найдя привычное и любимое ему молоко «Му-Му», он скорее возьмет молоко другой марки, нежели уйдет из магазина совсем без молока. Хотя в некоторых случаях покупатель будет привязан именно к марке товара и будет искать конкретный бренд (например, есть приверженцы марки «</w:t>
                  </w:r>
                  <w:proofErr w:type="spell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Parmalat</w:t>
                  </w:r>
                  <w:proofErr w:type="spell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», и никакое другое молоко эти люди употреблять не будут). Здесь наблюдается прямая зависимость от стоимости бреда – чем дороже товар, тем более покупатель привязан к выбору бренда. В таком случае правильно будет организовать дисплейную выкладку.</w:t>
                  </w:r>
                  <w:bookmarkStart w:id="0" w:name="_ftnref1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instrText xml:space="preserve"> HYPERLINK "http://www.retailclub.ru/admin/editor/editor.html?FieldName=doc_full" \l "_ftn1" \o "" </w:instrTex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u w:val="single"/>
                      <w:lang w:eastAsia="ru-RU"/>
                    </w:rPr>
                    <w:t>[1]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fldChar w:fldCharType="end"/>
                  </w:r>
                  <w:bookmarkEnd w:id="0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Продукты питания являются товарами повседневного спроса, поэтому в подавляющем большинстве выбор покупателя обусловлен не столько маркой, сколько категорией. Для продуктового супермаркета расположение товара по категориальному признаку будет преобладающим.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Как расположить товары разных категорий, при условии, что покупательский поток организован правильно – против часовой стрелки?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1.                 </w:t>
                  </w: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Входная зона и самые заметные места в покупательском потоке.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При входе в магазин и в лучших местах покупательского потока мы расположим товары особенные, уникальные: это такие товары, которых нет у Ваших конкурентов или магазинов подобного формата. Именно они формируют образ магазина как «особенного», запоминающегося. Они и заставляют сказать покупателя «ах!» - поэтому и расположение товаров данной категории будет или при входе, или по ходу основного покупательского потока. Как пример, такими товарами могут являться </w:t>
                  </w:r>
                  <w:proofErr w:type="spell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свежевыжатые</w:t>
                  </w:r>
                  <w:proofErr w:type="spell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соки, собственная выпечка, подарочные наборы к празднику, сезонные товары.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2.                 </w:t>
                  </w: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Начало движения и правая стена.</w:t>
                  </w: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Особенность покупательского поведения в продуктовом супермаркете такова, что очень сильно желание сразу положить понравившиеся товары в корзину. Есть еда – нужно брать! Т.е. именно в этой части супермаркета велика вероятность совершения импульсных, незапланированных покупок, которые внешним видом и эффектной выкладкой привлекают к себе внимание. </w:t>
                  </w:r>
                  <w:proofErr w:type="gram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Поэтому при начале движения можно располагать овощи и фрукты – среди этих категорий достаточно много товаров как целевого (картофель, капуста, морковь, лук, яблоки), так и импульсного спроса (бананы, апельсины, свежая зелень, клубника, орехи, сухофрукты).</w:t>
                  </w:r>
                  <w:proofErr w:type="gramEnd"/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spacing w:after="24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Так же в зоне начала движения располагают те товары, которые требуют продвижения, или на которые магазин делает специальный акцент. Перед праздниками может быть специально организована выкладка «алкоголь и конфеты в подарочных упаковках», перед Пасхой – тематическая выкладка «куличи, пасха, яйца», перед началом дачного сезона выкладка «пиво, снеки, наборы для пикника».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3.                 </w:t>
                  </w: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Правая стена и вершины золотых треугольников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. В вершинах «золотых треугольников» располагают товары постоянного спроса, которые являются приоритетными для магазина – звезды ассортимента. Товары приоритетных категорий важнее всего - они приносят максимальную прибыль и пользуются высоким спросом. Правильно будет их расположить в лучших местах торгового зала по ходу основного покупательского потока. Лучшими являются зоны «правая торцевая стена» и «стена напротив входа» - именно там можно расположить по ходу движения покупателей молочную группу (или гастрономию), затем сыры, колбасы, свежее мясо. И молочная </w:t>
                  </w:r>
                  <w:proofErr w:type="gram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группа</w:t>
                  </w:r>
                  <w:proofErr w:type="gram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и гастрономия традиционно пользуются большим спросом, поэтому мы располагаем продукты так, что заставляем покупателя двигаться вглубь магазина, приводя его к левой стене зала - от молочной группы к гастрономии или наоборот. Но нежелательно использовать для этих категорий внутренние ряды в центре магазина, так как они находятся вне зоны основного потока или магистрали.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4.                 </w:t>
                  </w: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Внутренние ряды в центре зала.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Есть товары, спрос на которые носит периодический характер (соусы, консервы, бакалея). Этот товар -  консервы, соусы, приправы, диетическое питание, бытовая химия и т.п. располагаем внутри торгового зала. Здесь традиционно располагаются бакалейная группа – макароны, каши, крупы, мука, сахар. Тут удачное место для ларей с продуктами глубокой заморозки – пиццы, пельмени, мороженые овощи, мясо и морепродукты. И именно во внутренних рядах располагаются консервы, соусы, приправы, специи, корма для животных, детское питание.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5.                 </w:t>
                  </w: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Кассовая зона.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Наконец, есть товары импульсного спроса - жвачка, сигареты, пакеты, открытки, журналы. Самое место для них – у выхода, в кассовой зоне. Несмотря на то, что кассовая зона считается зоной самых высоких импульсных покупок, не следует здесь организовывать тематические выкладки, особенно, если товар дорогой и статусный. Товар на выходе кажется покупателям менее престижным, к тому же покупательская корзина уже заполнена и покупательский бюджет исчерпан.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ru-RU"/>
                    </w:rPr>
                    <w:t>Пример возможного распределения категорий в супермаркете: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drawing>
                      <wp:inline distT="0" distB="0" distL="0" distR="0">
                        <wp:extent cx="5837555" cy="4462145"/>
                        <wp:effectExtent l="19050" t="0" r="0" b="0"/>
                        <wp:docPr id="3" name="Рисунок 3" descr="http://www.retailclub.ru/images/image0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tailclub.ru/images/image0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37555" cy="4462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tbl>
                  <w:tblPr>
                    <w:tblW w:w="3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1"/>
                    <w:gridCol w:w="1042"/>
                  </w:tblGrid>
                  <w:tr w:rsidR="00597CBF" w:rsidRPr="00597CBF" w:rsidTr="00597CB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Товары уникальных категорий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4"/>
                            <w:szCs w:val="14"/>
                            <w:lang w:eastAsia="ru-RU"/>
                          </w:rPr>
                          <w:drawing>
                            <wp:inline distT="0" distB="0" distL="0" distR="0">
                              <wp:extent cx="358140" cy="248920"/>
                              <wp:effectExtent l="19050" t="0" r="3810" b="0"/>
                              <wp:docPr id="4" name="Рисунок 4" descr="http://www.retailclub.ru/images/image0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retailclub.ru/images/image0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8140" cy="248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7CBF" w:rsidRPr="00597CBF" w:rsidTr="00597CB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Товары приоритетных категорий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4"/>
                            <w:szCs w:val="14"/>
                            <w:lang w:eastAsia="ru-RU"/>
                          </w:rPr>
                          <w:drawing>
                            <wp:inline distT="0" distB="0" distL="0" distR="0">
                              <wp:extent cx="314325" cy="241300"/>
                              <wp:effectExtent l="0" t="0" r="9525" b="0"/>
                              <wp:docPr id="5" name="Рисунок 5" descr="http://www.retailclub.ru/images/image01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retailclub.ru/images/image01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7CBF" w:rsidRPr="00597CBF" w:rsidTr="00597CB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Товары основного ассортимента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4"/>
                            <w:szCs w:val="14"/>
                            <w:lang w:eastAsia="ru-RU"/>
                          </w:rPr>
                          <w:drawing>
                            <wp:inline distT="0" distB="0" distL="0" distR="0">
                              <wp:extent cx="358140" cy="248920"/>
                              <wp:effectExtent l="19050" t="0" r="3810" b="0"/>
                              <wp:docPr id="6" name="Рисунок 6" descr="http://www.retailclub.ru/images/image01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retailclub.ru/images/image01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8140" cy="248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7CBF" w:rsidRPr="00597CBF" w:rsidTr="00597CB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Товары периодически покупаемые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4"/>
                            <w:szCs w:val="14"/>
                            <w:lang w:eastAsia="ru-RU"/>
                          </w:rPr>
                          <w:drawing>
                            <wp:inline distT="0" distB="0" distL="0" distR="0">
                              <wp:extent cx="358140" cy="131445"/>
                              <wp:effectExtent l="19050" t="0" r="3810" b="0"/>
                              <wp:docPr id="7" name="Рисунок 7" descr="http://www.retailclub.ru/images/image01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retailclub.ru/images/image01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8140" cy="131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97CBF" w:rsidRPr="00597CBF" w:rsidTr="00597CB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597CBF">
                          <w:rPr>
                            <w:rFonts w:ascii="Arial" w:eastAsia="Times New Roman" w:hAnsi="Arial" w:cs="Arial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Товары сопутствующего ассортимента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97CBF" w:rsidRPr="00597CBF" w:rsidRDefault="00597CBF" w:rsidP="00597CBF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4"/>
                            <w:szCs w:val="14"/>
                            <w:lang w:eastAsia="ru-RU"/>
                          </w:rPr>
                          <w:drawing>
                            <wp:inline distT="0" distB="0" distL="0" distR="0">
                              <wp:extent cx="248920" cy="248920"/>
                              <wp:effectExtent l="19050" t="0" r="0" b="0"/>
                              <wp:docPr id="8" name="Рисунок 8" descr="http://www.retailclub.ru/images/image01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retailclub.ru/images/image01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920" cy="248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pict>
                      <v:rect id="_x0000_i1025" style="width:154.35pt;height:.75pt" o:hrpct="330" o:hrstd="t" o:hr="t" fillcolor="#aca899" stroked="f"/>
                    </w:pict>
                  </w:r>
                </w:p>
                <w:bookmarkStart w:id="1" w:name="_ftn1"/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fldChar w:fldCharType="begin"/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instrText xml:space="preserve"> HYPERLINK "http://www.retailclub.ru/admin/editor/editor.html?FieldName=doc_full" \l "_ftnref1" \o "" </w:instrTex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fldChar w:fldCharType="separate"/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u w:val="single"/>
                      <w:lang w:eastAsia="ru-RU"/>
                    </w:rPr>
                    <w:t>[1]</w:t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fldChar w:fldCharType="end"/>
                  </w:r>
                  <w:bookmarkEnd w:id="1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lang w:eastAsia="ru-RU"/>
                    </w:rPr>
                    <w:t> </w:t>
                  </w:r>
                  <w:r w:rsidRPr="00597CB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4"/>
                      <w:szCs w:val="14"/>
                      <w:lang w:eastAsia="ru-RU"/>
                    </w:rPr>
                    <w:t>Если же количество приверженцев марки очень велико, то, возможно, имеет смысл открыть отдельный магазин (как например, винный специализированный магазин «Массандра-Легенда Крыма»).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ОБ АВТОРЕ СТАТЬИ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4"/>
                      <w:szCs w:val="14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885950"/>
                        <wp:effectExtent l="19050" t="0" r="0" b="0"/>
                        <wp:wrapSquare wrapText="bothSides"/>
                        <wp:docPr id="9" name="Рисунок 2" descr="http://www.retailclub.ru/images/image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tailclub.ru/images/image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БУЗУКОВА  Екатерина Анатольевна – ведущий специалист проекта «</w:t>
                  </w:r>
                  <w:proofErr w:type="spell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Супер-Розница</w:t>
                  </w:r>
                  <w:proofErr w:type="spell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», практик с 12-летним опытом работы в закупках, руководитель, бизнес-тренер. 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Автор и ведущий семинаров «Управление ассортиментом в розничной компании: стратегия, товар, закупки, поставщики», «</w:t>
                  </w:r>
                  <w:proofErr w:type="spell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Категорийный</w:t>
                  </w:r>
                  <w:proofErr w:type="spell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менеджмент – новый подход к управлению ассортиментом», «</w:t>
                  </w:r>
                  <w:proofErr w:type="spellStart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Мерчендайзинг</w:t>
                  </w:r>
                  <w:proofErr w:type="spellEnd"/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и инструменты стимулирования в магазинах».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  <w:p w:rsidR="00597CBF" w:rsidRPr="00597CBF" w:rsidRDefault="00597CBF" w:rsidP="00597CBF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97CB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Автор книги «Методы анализа ассортимента». Книга появится в продаже в сентябре 2006 года.</w:t>
                  </w:r>
                </w:p>
                <w:p w:rsidR="00597CBF" w:rsidRPr="00597CBF" w:rsidRDefault="00597CBF" w:rsidP="00597CB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597CBF" w:rsidRPr="00597CBF" w:rsidRDefault="00597CBF" w:rsidP="00597CBF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2F51AC" w:rsidRDefault="002F51AC"/>
    <w:sectPr w:rsidR="002F51AC" w:rsidSect="002F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97CBF"/>
    <w:rsid w:val="002F51AC"/>
    <w:rsid w:val="00597CBF"/>
    <w:rsid w:val="0061643C"/>
    <w:rsid w:val="006278D0"/>
    <w:rsid w:val="008D003F"/>
    <w:rsid w:val="00DD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0"/>
  </w:style>
  <w:style w:type="paragraph" w:styleId="1">
    <w:name w:val="heading 1"/>
    <w:basedOn w:val="a"/>
    <w:link w:val="10"/>
    <w:uiPriority w:val="9"/>
    <w:qFormat/>
    <w:rsid w:val="00597C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78D0"/>
    <w:pPr>
      <w:spacing w:before="200" w:after="100"/>
      <w:ind w:left="200" w:right="200"/>
      <w:outlineLvl w:val="1"/>
    </w:pPr>
    <w:rPr>
      <w:rFonts w:ascii="Times New Roman" w:eastAsia="Times New Roman" w:hAnsi="Times New Roman" w:cs="Times New Roman"/>
      <w:b/>
      <w:bCs/>
      <w:color w:val="606B96"/>
      <w:sz w:val="13"/>
      <w:szCs w:val="13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7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8D0"/>
    <w:rPr>
      <w:rFonts w:ascii="Times New Roman" w:eastAsia="Times New Roman" w:hAnsi="Times New Roman" w:cs="Times New Roman"/>
      <w:b/>
      <w:bCs/>
      <w:color w:val="606B96"/>
      <w:sz w:val="13"/>
      <w:szCs w:val="1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8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278D0"/>
    <w:rPr>
      <w:b/>
      <w:bCs/>
    </w:rPr>
  </w:style>
  <w:style w:type="paragraph" w:styleId="a4">
    <w:name w:val="List Paragraph"/>
    <w:basedOn w:val="a"/>
    <w:uiPriority w:val="34"/>
    <w:qFormat/>
    <w:rsid w:val="006278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7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97CBF"/>
  </w:style>
  <w:style w:type="character" w:styleId="a5">
    <w:name w:val="Hyperlink"/>
    <w:basedOn w:val="a0"/>
    <w:uiPriority w:val="99"/>
    <w:semiHidden/>
    <w:unhideWhenUsed/>
    <w:rsid w:val="00597C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7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hyperlink" Target="http://www.retailclub.ru/book/" TargetMode="Externa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2014-08-19T07:02:00Z</dcterms:created>
  <dcterms:modified xsi:type="dcterms:W3CDTF">2014-08-19T07:25:00Z</dcterms:modified>
</cp:coreProperties>
</file>